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8FF"/>
  <w:body>
    <w:p w14:paraId="3CE4645C" w14:textId="77777777" w:rsidR="007F4D5E" w:rsidRPr="007F4D5E" w:rsidRDefault="007F4D5E" w:rsidP="007F4D5E">
      <w:pPr>
        <w:widowControl/>
        <w:suppressAutoHyphens w:val="0"/>
        <w:spacing w:line="276" w:lineRule="auto"/>
        <w:jc w:val="center"/>
        <w:rPr>
          <w:rFonts w:ascii="Calibri" w:eastAsiaTheme="minorHAnsi" w:hAnsi="Calibri" w:cs="Calibri"/>
          <w:b/>
          <w:bCs/>
          <w:color w:val="auto"/>
          <w:sz w:val="26"/>
          <w:szCs w:val="26"/>
          <w:lang w:eastAsia="en-US"/>
        </w:rPr>
      </w:pPr>
      <w:r w:rsidRPr="007F4D5E">
        <w:rPr>
          <w:rFonts w:ascii="Calibri" w:eastAsiaTheme="minorHAnsi" w:hAnsi="Calibri" w:cs="Calibri"/>
          <w:b/>
          <w:bCs/>
          <w:color w:val="auto"/>
          <w:sz w:val="26"/>
          <w:szCs w:val="26"/>
          <w:lang w:eastAsia="en-US"/>
        </w:rPr>
        <w:t>Az energiatudatosság és a mesterséges intelligencia lesz a XVI. Pollack Expo fókuszában</w:t>
      </w:r>
    </w:p>
    <w:p w14:paraId="20EAEDAC" w14:textId="77777777" w:rsidR="007F4D5E" w:rsidRPr="007F4D5E" w:rsidRDefault="007F4D5E" w:rsidP="007F4D5E">
      <w:pPr>
        <w:widowControl/>
        <w:suppressAutoHyphens w:val="0"/>
        <w:spacing w:line="276" w:lineRule="auto"/>
        <w:jc w:val="center"/>
        <w:rPr>
          <w:rFonts w:ascii="Calibri" w:eastAsiaTheme="minorHAnsi" w:hAnsi="Calibri" w:cs="Calibri"/>
          <w:color w:val="auto"/>
          <w:sz w:val="22"/>
          <w:szCs w:val="22"/>
          <w:lang w:eastAsia="en-US"/>
        </w:rPr>
      </w:pPr>
    </w:p>
    <w:p w14:paraId="6FACA790" w14:textId="3CA6FF52" w:rsidR="007F4D5E" w:rsidRDefault="007F4D5E" w:rsidP="007F4D5E">
      <w:pPr>
        <w:widowControl/>
        <w:suppressAutoHyphens w:val="0"/>
        <w:spacing w:line="276" w:lineRule="auto"/>
        <w:jc w:val="both"/>
        <w:rPr>
          <w:rFonts w:ascii="Calibri" w:eastAsiaTheme="minorHAnsi" w:hAnsi="Calibri" w:cs="Calibri"/>
          <w:color w:val="auto"/>
          <w:sz w:val="22"/>
          <w:szCs w:val="22"/>
          <w:lang w:eastAsia="en-US"/>
        </w:rPr>
      </w:pPr>
    </w:p>
    <w:p w14:paraId="6D9DCDCF" w14:textId="77777777" w:rsidR="007F4D5E" w:rsidRPr="007F4D5E" w:rsidRDefault="007F4D5E" w:rsidP="007F4D5E">
      <w:pPr>
        <w:widowControl/>
        <w:suppressAutoHyphens w:val="0"/>
        <w:spacing w:line="276" w:lineRule="auto"/>
        <w:jc w:val="both"/>
        <w:rPr>
          <w:rFonts w:ascii="Calibri" w:eastAsiaTheme="minorHAnsi" w:hAnsi="Calibri" w:cs="Calibri"/>
          <w:color w:val="auto"/>
          <w:sz w:val="22"/>
          <w:szCs w:val="22"/>
          <w:lang w:eastAsia="en-US"/>
        </w:rPr>
      </w:pPr>
    </w:p>
    <w:p w14:paraId="4DA53579" w14:textId="77777777" w:rsidR="007F4D5E" w:rsidRPr="007F4D5E" w:rsidRDefault="007F4D5E" w:rsidP="007F4D5E">
      <w:pPr>
        <w:widowControl/>
        <w:suppressAutoHyphens w:val="0"/>
        <w:spacing w:line="276" w:lineRule="auto"/>
        <w:jc w:val="both"/>
        <w:rPr>
          <w:rFonts w:ascii="Calibri" w:eastAsiaTheme="minorHAnsi" w:hAnsi="Calibri" w:cs="Calibri"/>
          <w:color w:val="auto"/>
          <w:sz w:val="22"/>
          <w:szCs w:val="22"/>
          <w:lang w:eastAsia="en-US"/>
        </w:rPr>
      </w:pPr>
      <w:r w:rsidRPr="007F4D5E"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t>Miként használható az épületek belső és külső tereinek tervezéséhez a mesterséges intelligencia, hogyan fejlődtek az autóipari vezérlőrendszerek az ABS-</w:t>
      </w:r>
      <w:proofErr w:type="spellStart"/>
      <w:r w:rsidRPr="007F4D5E"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t>től</w:t>
      </w:r>
      <w:proofErr w:type="spellEnd"/>
      <w:r w:rsidRPr="007F4D5E"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t xml:space="preserve"> az önvezetés irányába, miként zöldíthetők az ipari épületek a talajszondás CO</w:t>
      </w:r>
      <w:r w:rsidRPr="007F4D5E">
        <w:rPr>
          <w:rFonts w:ascii="Calibri" w:eastAsiaTheme="minorHAnsi" w:hAnsi="Calibri" w:cs="Calibri"/>
          <w:color w:val="auto"/>
          <w:sz w:val="22"/>
          <w:szCs w:val="22"/>
          <w:vertAlign w:val="subscript"/>
          <w:lang w:eastAsia="en-US"/>
        </w:rPr>
        <w:t>2</w:t>
      </w:r>
      <w:r w:rsidRPr="007F4D5E"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t>-csökkentéssel? – a kérdésekre a mesterséges intelligencia és az energiatudatosság szem előtt tartásával adhatók válaszok. Ez a két, napjainkat is átszövő, a jövő fejlődését meghatározó terület köré szerveződik a XVI. Pollack Expo, amelyet 2023. április 13-14-én rendez a pécsi Expo Centerben a Pécsi Tudományegyetem Műszaki és Informatikai Kara (PTE MIK). A 100 tudományos előadás mellett látványos bemutatók, mintegy 130 cég kiállítása, konferenciák és interaktív programok várják a tudomány és a jövő iránt érdeklődőket.</w:t>
      </w:r>
    </w:p>
    <w:p w14:paraId="56014E07" w14:textId="77777777" w:rsidR="007F4D5E" w:rsidRPr="007F4D5E" w:rsidRDefault="007F4D5E" w:rsidP="007F4D5E">
      <w:pPr>
        <w:widowControl/>
        <w:suppressAutoHyphens w:val="0"/>
        <w:spacing w:line="276" w:lineRule="auto"/>
        <w:jc w:val="both"/>
        <w:rPr>
          <w:rFonts w:ascii="Calibri" w:eastAsiaTheme="minorHAnsi" w:hAnsi="Calibri" w:cs="Calibri"/>
          <w:color w:val="auto"/>
          <w:sz w:val="22"/>
          <w:szCs w:val="22"/>
          <w:lang w:eastAsia="en-US"/>
        </w:rPr>
      </w:pPr>
    </w:p>
    <w:p w14:paraId="0B1B520A" w14:textId="77777777" w:rsidR="007F4D5E" w:rsidRPr="007F4D5E" w:rsidRDefault="007F4D5E" w:rsidP="007F4D5E">
      <w:pPr>
        <w:widowControl/>
        <w:suppressAutoHyphens w:val="0"/>
        <w:spacing w:line="276" w:lineRule="auto"/>
        <w:jc w:val="center"/>
        <w:rPr>
          <w:rFonts w:ascii="Calibri" w:eastAsiaTheme="minorHAnsi" w:hAnsi="Calibri" w:cs="Calibri"/>
          <w:b/>
          <w:bCs/>
          <w:color w:val="auto"/>
          <w:sz w:val="22"/>
          <w:szCs w:val="22"/>
          <w:lang w:eastAsia="en-US"/>
        </w:rPr>
      </w:pPr>
      <w:r w:rsidRPr="007F4D5E">
        <w:rPr>
          <w:rFonts w:ascii="Calibri" w:eastAsiaTheme="minorHAnsi" w:hAnsi="Calibri" w:cs="Calibri"/>
          <w:b/>
          <w:bCs/>
          <w:color w:val="auto"/>
          <w:sz w:val="22"/>
          <w:szCs w:val="22"/>
          <w:lang w:eastAsia="en-US"/>
        </w:rPr>
        <w:t>A XVI. Pollack Expora ezúton szeretettel hívjuk a sajtó képviselőit.</w:t>
      </w:r>
    </w:p>
    <w:p w14:paraId="322707E6" w14:textId="77777777" w:rsidR="007F4D5E" w:rsidRPr="007F4D5E" w:rsidRDefault="007F4D5E" w:rsidP="007F4D5E">
      <w:pPr>
        <w:widowControl/>
        <w:suppressAutoHyphens w:val="0"/>
        <w:spacing w:line="276" w:lineRule="auto"/>
        <w:jc w:val="center"/>
        <w:rPr>
          <w:rFonts w:ascii="Calibri" w:eastAsiaTheme="minorHAnsi" w:hAnsi="Calibri" w:cs="Calibri"/>
          <w:b/>
          <w:bCs/>
          <w:color w:val="auto"/>
          <w:sz w:val="22"/>
          <w:szCs w:val="22"/>
          <w:lang w:eastAsia="en-US"/>
        </w:rPr>
      </w:pPr>
      <w:r w:rsidRPr="007F4D5E">
        <w:rPr>
          <w:rFonts w:ascii="Calibri" w:eastAsiaTheme="minorHAnsi" w:hAnsi="Calibri" w:cs="Calibri"/>
          <w:b/>
          <w:bCs/>
          <w:color w:val="auto"/>
          <w:sz w:val="22"/>
          <w:szCs w:val="22"/>
          <w:lang w:eastAsia="en-US"/>
        </w:rPr>
        <w:t>Időpont: 2023. április 13-14.</w:t>
      </w:r>
    </w:p>
    <w:p w14:paraId="1E66DA39" w14:textId="77777777" w:rsidR="007F4D5E" w:rsidRPr="007F4D5E" w:rsidRDefault="007F4D5E" w:rsidP="007F4D5E">
      <w:pPr>
        <w:widowControl/>
        <w:suppressAutoHyphens w:val="0"/>
        <w:spacing w:line="276" w:lineRule="auto"/>
        <w:jc w:val="center"/>
        <w:rPr>
          <w:rFonts w:ascii="Calibri" w:eastAsiaTheme="minorHAnsi" w:hAnsi="Calibri" w:cs="Calibri"/>
          <w:b/>
          <w:bCs/>
          <w:color w:val="auto"/>
          <w:sz w:val="22"/>
          <w:szCs w:val="22"/>
          <w:lang w:eastAsia="en-US"/>
        </w:rPr>
      </w:pPr>
      <w:r w:rsidRPr="007F4D5E">
        <w:rPr>
          <w:rFonts w:ascii="Calibri" w:eastAsiaTheme="minorHAnsi" w:hAnsi="Calibri" w:cs="Calibri"/>
          <w:b/>
          <w:bCs/>
          <w:color w:val="auto"/>
          <w:sz w:val="22"/>
          <w:szCs w:val="22"/>
          <w:lang w:eastAsia="en-US"/>
        </w:rPr>
        <w:t>Helyszín: Expo Center Pécs, 7631 Pécs, Megyeri út 72.</w:t>
      </w:r>
    </w:p>
    <w:p w14:paraId="6ACE841D" w14:textId="77777777" w:rsidR="007F4D5E" w:rsidRPr="007F4D5E" w:rsidRDefault="007F4D5E" w:rsidP="007F4D5E">
      <w:pPr>
        <w:widowControl/>
        <w:suppressAutoHyphens w:val="0"/>
        <w:spacing w:line="276" w:lineRule="auto"/>
        <w:jc w:val="center"/>
        <w:rPr>
          <w:rFonts w:ascii="Calibri" w:eastAsiaTheme="minorHAnsi" w:hAnsi="Calibri" w:cs="Calibri"/>
          <w:color w:val="auto"/>
          <w:sz w:val="22"/>
          <w:szCs w:val="22"/>
          <w:lang w:eastAsia="en-US"/>
        </w:rPr>
      </w:pPr>
    </w:p>
    <w:p w14:paraId="0FAF2A59" w14:textId="77777777" w:rsidR="007F4D5E" w:rsidRPr="007F4D5E" w:rsidRDefault="007F4D5E" w:rsidP="007F4D5E">
      <w:pPr>
        <w:widowControl/>
        <w:suppressAutoHyphens w:val="0"/>
        <w:spacing w:line="276" w:lineRule="auto"/>
        <w:jc w:val="both"/>
        <w:rPr>
          <w:rFonts w:ascii="Calibri" w:eastAsiaTheme="minorHAnsi" w:hAnsi="Calibri" w:cs="Calibri"/>
          <w:color w:val="auto"/>
          <w:sz w:val="22"/>
          <w:szCs w:val="22"/>
          <w:lang w:eastAsia="en-US"/>
        </w:rPr>
      </w:pPr>
      <w:r w:rsidRPr="007F4D5E"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t>A Pollack Expo a PTE MIK legkiemelkedőbb szakmai rendezvénye, egyben az egyetem, az ipar és a mérnöktársadalom találkozóhelye. A kiállító cégek standján a látogatók megismerkedhetnek a műszaki, illetve a mérnöki tudományok újdonságaival és megoldásaival, a szakmai bemutatókon, valamint az építőiparhoz, az épületgépészethez és a gépészethez, az informatikához és a környezetiparhoz, illetve a villamosiparhoz kapcsolódó szakmai előadásokon pedig a modern anyagok és eljárások, a jövő technológiáját fejlesztő kutatások kerülnek fókuszba. Az energiatudatosság szinte minden szekcióban szerepet kap, az expon rendezik meg az Emberközpontú komfort és energetika konferenciát, amely a jelenleg a mesterséges intelligencia felhasználásával folyó komfortelméleti kutatásokat foglalja össze. A IV. Kéménytechnológiák Konferencián bemutatkozik a Kéményjobbítók Országos Szövetsége, a programok között ismét megrendezik a tavaly nagy sikert hozó zsaluzatépítő versenyt egyetemi hallgatók részére, a legnagyobb kiállítótérben pedig többek között elektromos járműveket is láthat a közönség. Mivel a kar hallgatóinak 20%-a angol nyelvű képzésen vesz részt, évről évre nő az angol nyelvű szekciók száma a Pollack Expon. Idén építőipari és informatikai területen hallhatnak előadásokat angol nyelven a hallgatók, mint ahogy szintén angolul a Breuer Marcell Doktori Iskola is bemutatja kiemelkedő doktori értekezéseit.</w:t>
      </w:r>
    </w:p>
    <w:p w14:paraId="4DF85BB1" w14:textId="7F5F7D7B" w:rsidR="007F4D5E" w:rsidRPr="007F4D5E" w:rsidRDefault="007F4D5E" w:rsidP="00AB75E5">
      <w:pPr>
        <w:widowControl/>
        <w:suppressAutoHyphens w:val="0"/>
        <w:spacing w:line="276" w:lineRule="auto"/>
        <w:jc w:val="both"/>
        <w:rPr>
          <w:rFonts w:ascii="Calibri" w:eastAsiaTheme="minorHAnsi" w:hAnsi="Calibri" w:cs="Calibri"/>
          <w:color w:val="auto"/>
          <w:sz w:val="22"/>
          <w:szCs w:val="22"/>
          <w:lang w:eastAsia="en-US"/>
        </w:rPr>
      </w:pPr>
      <w:r w:rsidRPr="007F4D5E"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br/>
        <w:t>A szakmai kiállításra a Dél-Dunántúl építészeit, mérnökeit</w:t>
      </w:r>
      <w:r w:rsidR="00AB75E5" w:rsidRPr="00AB75E5">
        <w:t xml:space="preserve"> </w:t>
      </w:r>
      <w:r w:rsidR="00AB75E5">
        <w:t xml:space="preserve">– </w:t>
      </w:r>
      <w:r w:rsidR="00AB75E5" w:rsidRPr="00AB75E5">
        <w:rPr>
          <w:rFonts w:asciiTheme="minorHAnsi" w:hAnsiTheme="minorHAnsi" w:cstheme="minorHAnsi"/>
          <w:sz w:val="22"/>
          <w:szCs w:val="22"/>
        </w:rPr>
        <w:t xml:space="preserve">idén is </w:t>
      </w:r>
      <w:r w:rsidR="00AB75E5" w:rsidRPr="00AB75E5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>akkreditált előadásokat hallgathatnak a Baranya</w:t>
      </w:r>
      <w:r w:rsidR="00AB75E5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 </w:t>
      </w:r>
      <w:r w:rsidR="00AB75E5" w:rsidRPr="00AB75E5"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t>V</w:t>
      </w:r>
      <w:r w:rsidR="00AB75E5" w:rsidRPr="00AB75E5">
        <w:rPr>
          <w:rFonts w:ascii="Calibri" w:eastAsiaTheme="minorHAnsi" w:hAnsi="Calibri" w:cs="Calibri" w:hint="cs"/>
          <w:color w:val="auto"/>
          <w:sz w:val="22"/>
          <w:szCs w:val="22"/>
          <w:lang w:eastAsia="en-US"/>
        </w:rPr>
        <w:t>á</w:t>
      </w:r>
      <w:r w:rsidR="00AB75E5" w:rsidRPr="00AB75E5"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t>rmegyei M</w:t>
      </w:r>
      <w:r w:rsidR="00AB75E5" w:rsidRPr="00AB75E5">
        <w:rPr>
          <w:rFonts w:ascii="Calibri" w:eastAsiaTheme="minorHAnsi" w:hAnsi="Calibri" w:cs="Calibri" w:hint="cs"/>
          <w:color w:val="auto"/>
          <w:sz w:val="22"/>
          <w:szCs w:val="22"/>
          <w:lang w:eastAsia="en-US"/>
        </w:rPr>
        <w:t>é</w:t>
      </w:r>
      <w:r w:rsidR="00AB75E5" w:rsidRPr="00AB75E5"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t>rn</w:t>
      </w:r>
      <w:r w:rsidR="00AB75E5" w:rsidRPr="00AB75E5">
        <w:rPr>
          <w:rFonts w:ascii="Calibri" w:eastAsiaTheme="minorHAnsi" w:hAnsi="Calibri" w:cs="Calibri" w:hint="cs"/>
          <w:color w:val="auto"/>
          <w:sz w:val="22"/>
          <w:szCs w:val="22"/>
          <w:lang w:eastAsia="en-US"/>
        </w:rPr>
        <w:t>ö</w:t>
      </w:r>
      <w:r w:rsidR="00AB75E5" w:rsidRPr="00AB75E5"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t xml:space="preserve">ki Kamara </w:t>
      </w:r>
      <w:r w:rsidR="00AB75E5" w:rsidRPr="00AB75E5">
        <w:rPr>
          <w:rFonts w:ascii="Calibri" w:eastAsiaTheme="minorHAnsi" w:hAnsi="Calibri" w:cs="Calibri" w:hint="cs"/>
          <w:color w:val="auto"/>
          <w:sz w:val="22"/>
          <w:szCs w:val="22"/>
          <w:lang w:eastAsia="en-US"/>
        </w:rPr>
        <w:t>é</w:t>
      </w:r>
      <w:r w:rsidR="00AB75E5" w:rsidRPr="00AB75E5"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t>s a D</w:t>
      </w:r>
      <w:r w:rsidR="00AB75E5" w:rsidRPr="00AB75E5">
        <w:rPr>
          <w:rFonts w:ascii="Calibri" w:eastAsiaTheme="minorHAnsi" w:hAnsi="Calibri" w:cs="Calibri" w:hint="cs"/>
          <w:color w:val="auto"/>
          <w:sz w:val="22"/>
          <w:szCs w:val="22"/>
          <w:lang w:eastAsia="en-US"/>
        </w:rPr>
        <w:t>é</w:t>
      </w:r>
      <w:r w:rsidR="00AB75E5" w:rsidRPr="00AB75E5"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t>l-Dun</w:t>
      </w:r>
      <w:r w:rsidR="00AB75E5" w:rsidRPr="00AB75E5">
        <w:rPr>
          <w:rFonts w:ascii="Calibri" w:eastAsiaTheme="minorHAnsi" w:hAnsi="Calibri" w:cs="Calibri" w:hint="cs"/>
          <w:color w:val="auto"/>
          <w:sz w:val="22"/>
          <w:szCs w:val="22"/>
          <w:lang w:eastAsia="en-US"/>
        </w:rPr>
        <w:t>á</w:t>
      </w:r>
      <w:r w:rsidR="00AB75E5" w:rsidRPr="00AB75E5"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t>nt</w:t>
      </w:r>
      <w:r w:rsidR="00AB75E5" w:rsidRPr="00AB75E5">
        <w:rPr>
          <w:rFonts w:ascii="Calibri" w:eastAsiaTheme="minorHAnsi" w:hAnsi="Calibri" w:cs="Calibri" w:hint="cs"/>
          <w:color w:val="auto"/>
          <w:sz w:val="22"/>
          <w:szCs w:val="22"/>
          <w:lang w:eastAsia="en-US"/>
        </w:rPr>
        <w:t>ú</w:t>
      </w:r>
      <w:r w:rsidR="00AB75E5" w:rsidRPr="00AB75E5"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t xml:space="preserve">li </w:t>
      </w:r>
      <w:r w:rsidR="00AB75E5" w:rsidRPr="00AB75E5">
        <w:rPr>
          <w:rFonts w:ascii="Calibri" w:eastAsiaTheme="minorHAnsi" w:hAnsi="Calibri" w:cs="Calibri" w:hint="cs"/>
          <w:color w:val="auto"/>
          <w:sz w:val="22"/>
          <w:szCs w:val="22"/>
          <w:lang w:eastAsia="en-US"/>
        </w:rPr>
        <w:t>É</w:t>
      </w:r>
      <w:r w:rsidR="00AB75E5" w:rsidRPr="00AB75E5"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t>p</w:t>
      </w:r>
      <w:r w:rsidR="00AB75E5" w:rsidRPr="00AB75E5">
        <w:rPr>
          <w:rFonts w:ascii="Calibri" w:eastAsiaTheme="minorHAnsi" w:hAnsi="Calibri" w:cs="Calibri" w:hint="cs"/>
          <w:color w:val="auto"/>
          <w:sz w:val="22"/>
          <w:szCs w:val="22"/>
          <w:lang w:eastAsia="en-US"/>
        </w:rPr>
        <w:t>í</w:t>
      </w:r>
      <w:r w:rsidR="00AB75E5" w:rsidRPr="00AB75E5"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t>t</w:t>
      </w:r>
      <w:r w:rsidR="00AB75E5" w:rsidRPr="00AB75E5">
        <w:rPr>
          <w:rFonts w:ascii="Calibri" w:eastAsiaTheme="minorHAnsi" w:hAnsi="Calibri" w:cs="Calibri" w:hint="cs"/>
          <w:color w:val="auto"/>
          <w:sz w:val="22"/>
          <w:szCs w:val="22"/>
          <w:lang w:eastAsia="en-US"/>
        </w:rPr>
        <w:t>é</w:t>
      </w:r>
      <w:r w:rsidR="00AB75E5" w:rsidRPr="00AB75E5"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t>sz Kamara</w:t>
      </w:r>
      <w:r w:rsidR="00AB75E5"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t xml:space="preserve"> </w:t>
      </w:r>
      <w:r w:rsidR="00AB75E5" w:rsidRPr="00AB75E5"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t>tagjai</w:t>
      </w:r>
      <w:r w:rsidR="00AB75E5"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t xml:space="preserve"> –</w:t>
      </w:r>
      <w:r w:rsidRPr="007F4D5E"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t xml:space="preserve">, kivitelezőit, egyetemi hallgatóit és középiskolai diákjait is várják, de azok számára is hasznos lehet a kétnapos rendezvény, akik építkezést, felújítást terveznek, esetleg a műszaki újdonságok iránt érdeklődnek. Különleges bemutató-kamionnal érkezik a </w:t>
      </w:r>
      <w:proofErr w:type="spellStart"/>
      <w:r w:rsidRPr="007F4D5E"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t>techóriás</w:t>
      </w:r>
      <w:proofErr w:type="spellEnd"/>
      <w:r w:rsidRPr="007F4D5E"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t xml:space="preserve"> </w:t>
      </w:r>
      <w:proofErr w:type="spellStart"/>
      <w:r w:rsidRPr="007F4D5E"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t>Huawei</w:t>
      </w:r>
      <w:proofErr w:type="spellEnd"/>
      <w:r w:rsidRPr="007F4D5E"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t>, amely több mint 80 m</w:t>
      </w:r>
      <w:r w:rsidRPr="007F4D5E">
        <w:rPr>
          <w:rFonts w:ascii="Calibri" w:eastAsiaTheme="minorHAnsi" w:hAnsi="Calibri" w:cs="Calibri"/>
          <w:color w:val="auto"/>
          <w:sz w:val="22"/>
          <w:szCs w:val="22"/>
          <w:vertAlign w:val="superscript"/>
          <w:lang w:eastAsia="en-US"/>
        </w:rPr>
        <w:t>2</w:t>
      </w:r>
      <w:r w:rsidRPr="007F4D5E"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t xml:space="preserve">-es kiállítótéren állítja ki legújabb fejlesztéseit. Az eseményre többek között játékokkal és nyereményekkel, valamint vezetett, interaktív szakmai túrákkal várják a régió középiskolás diákjait és tanáraikat. A szakmai túrákon a fiatalok megismerhetik a mérnöki pályákat, a kiállítások mentén a kar hallgatói által készített munkákat, betekintést nyerhetnek a mérnökképzés mindennapjaiba, az egyetemi élet sajátosságaiba. A Pollack Expon rendezik a „Tervezz te is </w:t>
      </w:r>
      <w:proofErr w:type="spellStart"/>
      <w:r w:rsidRPr="007F4D5E"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t>ökoházat</w:t>
      </w:r>
      <w:proofErr w:type="spellEnd"/>
      <w:r w:rsidRPr="007F4D5E"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t xml:space="preserve">!” innovációs középiskolai verseny, valamint a </w:t>
      </w:r>
      <w:proofErr w:type="spellStart"/>
      <w:r w:rsidRPr="007F4D5E"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t>Körber</w:t>
      </w:r>
      <w:proofErr w:type="spellEnd"/>
      <w:r w:rsidRPr="007F4D5E"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t xml:space="preserve"> </w:t>
      </w:r>
      <w:proofErr w:type="spellStart"/>
      <w:r w:rsidRPr="007F4D5E"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t>Innovathon</w:t>
      </w:r>
      <w:proofErr w:type="spellEnd"/>
      <w:r w:rsidRPr="007F4D5E"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t xml:space="preserve"> díjátadóját, utóbbin azokat a PTE MIK-es egyetemistákat ismerik el, akik a </w:t>
      </w:r>
      <w:proofErr w:type="spellStart"/>
      <w:r w:rsidRPr="007F4D5E"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t>Körber</w:t>
      </w:r>
      <w:proofErr w:type="spellEnd"/>
      <w:r w:rsidRPr="007F4D5E"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t xml:space="preserve"> Hungária Kft. által kiírt gépészipari feladatokat a legmagasabb minőségben oldották meg.  </w:t>
      </w:r>
    </w:p>
    <w:p w14:paraId="4BE27A74" w14:textId="77777777" w:rsidR="007F4D5E" w:rsidRPr="007F4D5E" w:rsidRDefault="007F4D5E" w:rsidP="007F4D5E">
      <w:pPr>
        <w:widowControl/>
        <w:suppressAutoHyphens w:val="0"/>
        <w:spacing w:line="276" w:lineRule="auto"/>
        <w:jc w:val="both"/>
        <w:rPr>
          <w:rFonts w:ascii="Calibri" w:eastAsiaTheme="minorHAnsi" w:hAnsi="Calibri" w:cs="Calibri"/>
          <w:color w:val="auto"/>
          <w:sz w:val="22"/>
          <w:szCs w:val="22"/>
          <w:lang w:eastAsia="en-US"/>
        </w:rPr>
      </w:pPr>
    </w:p>
    <w:p w14:paraId="4A809639" w14:textId="77777777" w:rsidR="007F4D5E" w:rsidRPr="007F4D5E" w:rsidRDefault="007F4D5E" w:rsidP="007F4D5E">
      <w:pPr>
        <w:widowControl/>
        <w:suppressAutoHyphens w:val="0"/>
        <w:spacing w:line="276" w:lineRule="auto"/>
        <w:jc w:val="both"/>
        <w:rPr>
          <w:rFonts w:ascii="Calibri" w:eastAsiaTheme="minorHAnsi" w:hAnsi="Calibri" w:cs="Calibri"/>
          <w:color w:val="0563C1"/>
          <w:sz w:val="22"/>
          <w:szCs w:val="22"/>
          <w:u w:val="single"/>
          <w:lang w:eastAsia="en-US"/>
        </w:rPr>
      </w:pPr>
      <w:r w:rsidRPr="007F4D5E"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t xml:space="preserve">A Pollack Expo részletes programja itt érhető el: </w:t>
      </w:r>
      <w:hyperlink r:id="rId7" w:history="1">
        <w:r w:rsidRPr="007F4D5E">
          <w:rPr>
            <w:rFonts w:ascii="Calibri" w:eastAsiaTheme="minorHAnsi" w:hAnsi="Calibri" w:cs="Calibri"/>
            <w:color w:val="0563C1"/>
            <w:sz w:val="22"/>
            <w:szCs w:val="22"/>
            <w:u w:val="single"/>
            <w:lang w:eastAsia="en-US"/>
          </w:rPr>
          <w:t>https://pollackexpo.mik.pte.hu/</w:t>
        </w:r>
      </w:hyperlink>
    </w:p>
    <w:p w14:paraId="420FD9A1" w14:textId="77777777" w:rsidR="007F4D5E" w:rsidRPr="007F4D5E" w:rsidRDefault="007F4D5E" w:rsidP="007F4D5E">
      <w:pPr>
        <w:widowControl/>
        <w:suppressAutoHyphens w:val="0"/>
        <w:spacing w:line="276" w:lineRule="auto"/>
        <w:jc w:val="both"/>
        <w:rPr>
          <w:rFonts w:ascii="Calibri" w:eastAsiaTheme="minorHAnsi" w:hAnsi="Calibri" w:cs="Calibri"/>
          <w:color w:val="auto"/>
          <w:sz w:val="22"/>
          <w:szCs w:val="22"/>
          <w:lang w:eastAsia="en-US"/>
        </w:rPr>
      </w:pPr>
    </w:p>
    <w:p w14:paraId="751CD5EB" w14:textId="77777777" w:rsidR="007F4D5E" w:rsidRPr="007F4D5E" w:rsidRDefault="007F4D5E" w:rsidP="007F4D5E">
      <w:pPr>
        <w:widowControl/>
        <w:suppressAutoHyphens w:val="0"/>
        <w:spacing w:line="276" w:lineRule="auto"/>
        <w:jc w:val="both"/>
        <w:rPr>
          <w:rFonts w:ascii="Calibri" w:eastAsiaTheme="minorHAnsi" w:hAnsi="Calibri" w:cs="Calibri"/>
          <w:b/>
          <w:bCs/>
          <w:color w:val="auto"/>
          <w:sz w:val="22"/>
          <w:szCs w:val="22"/>
          <w:lang w:eastAsia="en-US"/>
        </w:rPr>
      </w:pPr>
      <w:r w:rsidRPr="007F4D5E">
        <w:rPr>
          <w:rFonts w:ascii="Calibri" w:eastAsiaTheme="minorHAnsi" w:hAnsi="Calibri" w:cs="Calibri"/>
          <w:b/>
          <w:bCs/>
          <w:color w:val="auto"/>
          <w:sz w:val="22"/>
          <w:szCs w:val="22"/>
          <w:lang w:eastAsia="en-US"/>
        </w:rPr>
        <w:t xml:space="preserve">További információkért és a helyszíni segítségért, kérjük, keressék dr. Kovács Éva kommunikációs dékáni megbízottat. E-mail: </w:t>
      </w:r>
      <w:hyperlink r:id="rId8" w:history="1">
        <w:r w:rsidRPr="007F4D5E">
          <w:rPr>
            <w:rFonts w:ascii="Calibri" w:eastAsiaTheme="minorHAnsi" w:hAnsi="Calibri" w:cs="Calibri"/>
            <w:b/>
            <w:bCs/>
            <w:color w:val="0563C1"/>
            <w:sz w:val="22"/>
            <w:szCs w:val="22"/>
            <w:u w:val="single"/>
            <w:lang w:eastAsia="en-US"/>
          </w:rPr>
          <w:t>kovacs.eva@mik.pte.hu</w:t>
        </w:r>
      </w:hyperlink>
      <w:r w:rsidRPr="007F4D5E">
        <w:rPr>
          <w:rFonts w:ascii="Calibri" w:eastAsiaTheme="minorHAnsi" w:hAnsi="Calibri" w:cs="Calibri"/>
          <w:b/>
          <w:bCs/>
          <w:color w:val="auto"/>
          <w:sz w:val="22"/>
          <w:szCs w:val="22"/>
          <w:lang w:eastAsia="en-US"/>
        </w:rPr>
        <w:t>, telefonszáma: +36 30 997 9779</w:t>
      </w:r>
    </w:p>
    <w:p w14:paraId="6E478FCE" w14:textId="77777777" w:rsidR="007F4D5E" w:rsidRPr="007F4D5E" w:rsidRDefault="007F4D5E" w:rsidP="007F4D5E">
      <w:pPr>
        <w:widowControl/>
        <w:suppressAutoHyphens w:val="0"/>
        <w:spacing w:line="276" w:lineRule="auto"/>
        <w:jc w:val="both"/>
        <w:rPr>
          <w:rFonts w:ascii="Calibri" w:eastAsiaTheme="minorHAnsi" w:hAnsi="Calibri" w:cs="Calibri"/>
          <w:color w:val="auto"/>
          <w:sz w:val="22"/>
          <w:szCs w:val="22"/>
          <w:lang w:eastAsia="en-US"/>
        </w:rPr>
      </w:pPr>
    </w:p>
    <w:p w14:paraId="565E57D7" w14:textId="179045E0" w:rsidR="007F45EF" w:rsidRPr="007F4D5E" w:rsidRDefault="007F45EF" w:rsidP="007F4D5E"/>
    <w:sectPr w:rsidR="007F45EF" w:rsidRPr="007F4D5E" w:rsidSect="00971839">
      <w:headerReference w:type="default" r:id="rId9"/>
      <w:footerReference w:type="even" r:id="rId10"/>
      <w:footerReference w:type="default" r:id="rId11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4564B" w14:textId="77777777" w:rsidR="00DD4686" w:rsidRDefault="00DD4686">
      <w:r>
        <w:separator/>
      </w:r>
    </w:p>
  </w:endnote>
  <w:endnote w:type="continuationSeparator" w:id="0">
    <w:p w14:paraId="67E33BB4" w14:textId="77777777" w:rsidR="00DD4686" w:rsidRDefault="00DD4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5F3015" w14:textId="77777777" w:rsidR="00DD4686" w:rsidRDefault="00DD4686">
      <w:r>
        <w:separator/>
      </w:r>
    </w:p>
  </w:footnote>
  <w:footnote w:type="continuationSeparator" w:id="0">
    <w:p w14:paraId="25ECAC2A" w14:textId="77777777" w:rsidR="00DD4686" w:rsidRDefault="00DD46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 w16cid:durableId="71779962">
    <w:abstractNumId w:val="0"/>
  </w:num>
  <w:num w:numId="2" w16cid:durableId="994185003">
    <w:abstractNumId w:val="2"/>
  </w:num>
  <w:num w:numId="3" w16cid:durableId="765080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2CF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735FD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505AB"/>
    <w:rsid w:val="00363D83"/>
    <w:rsid w:val="003943B8"/>
    <w:rsid w:val="00394A87"/>
    <w:rsid w:val="00394C7A"/>
    <w:rsid w:val="003A2EA2"/>
    <w:rsid w:val="003B6D55"/>
    <w:rsid w:val="003C10DC"/>
    <w:rsid w:val="003D144C"/>
    <w:rsid w:val="003E2766"/>
    <w:rsid w:val="003E4760"/>
    <w:rsid w:val="003F30F9"/>
    <w:rsid w:val="00400C9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312E8"/>
    <w:rsid w:val="00641A1C"/>
    <w:rsid w:val="00674DD7"/>
    <w:rsid w:val="00675A53"/>
    <w:rsid w:val="00681103"/>
    <w:rsid w:val="006B0025"/>
    <w:rsid w:val="006C508B"/>
    <w:rsid w:val="006D7241"/>
    <w:rsid w:val="006F4C11"/>
    <w:rsid w:val="007104A2"/>
    <w:rsid w:val="00736380"/>
    <w:rsid w:val="0077255B"/>
    <w:rsid w:val="00774F31"/>
    <w:rsid w:val="007A47AD"/>
    <w:rsid w:val="007C424A"/>
    <w:rsid w:val="007C4EA3"/>
    <w:rsid w:val="007F20CB"/>
    <w:rsid w:val="007F45EF"/>
    <w:rsid w:val="007F4D5E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28F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B75E5"/>
    <w:rsid w:val="00AF607A"/>
    <w:rsid w:val="00B16162"/>
    <w:rsid w:val="00B22164"/>
    <w:rsid w:val="00B5375C"/>
    <w:rsid w:val="00B6364C"/>
    <w:rsid w:val="00BE03B1"/>
    <w:rsid w:val="00BF14B3"/>
    <w:rsid w:val="00C02334"/>
    <w:rsid w:val="00C6282C"/>
    <w:rsid w:val="00C71123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72F79"/>
    <w:rsid w:val="00D7476D"/>
    <w:rsid w:val="00D80CC5"/>
    <w:rsid w:val="00DA158E"/>
    <w:rsid w:val="00DA7F43"/>
    <w:rsid w:val="00DD4686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vacs.eva@mik.pte.h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ollackexpo.mik.pte.h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500</Words>
  <Characters>3453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Kis Tünde</cp:lastModifiedBy>
  <cp:revision>3</cp:revision>
  <cp:lastPrinted>2003-07-24T12:44:00Z</cp:lastPrinted>
  <dcterms:created xsi:type="dcterms:W3CDTF">2023-04-04T07:15:00Z</dcterms:created>
  <dcterms:modified xsi:type="dcterms:W3CDTF">2023-04-04T07:27:00Z</dcterms:modified>
</cp:coreProperties>
</file>